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36C" w:rsidRPr="00A4436C" w:rsidRDefault="00A4436C" w:rsidP="00976EC8">
      <w:pPr>
        <w:pStyle w:val="Titre2"/>
        <w:pBdr>
          <w:bottom w:val="none" w:sz="0" w:space="0" w:color="auto"/>
        </w:pBdr>
        <w:shd w:val="clear" w:color="auto" w:fill="D9D9D9"/>
        <w:jc w:val="center"/>
        <w:rPr>
          <w:rFonts w:ascii="Arial Narrow" w:hAnsi="Arial Narrow" w:cs="Arial"/>
          <w:sz w:val="28"/>
          <w:szCs w:val="28"/>
        </w:rPr>
      </w:pPr>
      <w:r w:rsidRPr="00A4436C">
        <w:rPr>
          <w:rFonts w:ascii="Arial Narrow" w:hAnsi="Arial Narrow" w:cs="Arial"/>
          <w:sz w:val="36"/>
        </w:rPr>
        <w:t xml:space="preserve">FORMULAIRE RGPD </w:t>
      </w:r>
      <w:r w:rsidRPr="00A4436C">
        <w:rPr>
          <w:rFonts w:ascii="Arial Narrow" w:hAnsi="Arial Narrow" w:cs="Arial"/>
          <w:sz w:val="28"/>
          <w:szCs w:val="28"/>
        </w:rPr>
        <w:t xml:space="preserve">ACTED </w:t>
      </w:r>
      <w:r w:rsidRPr="00A4436C">
        <w:rPr>
          <w:rFonts w:ascii="Arial Narrow" w:hAnsi="Arial Narrow" w:cs="Arial"/>
          <w:color w:val="0070C0"/>
          <w:sz w:val="28"/>
          <w:szCs w:val="28"/>
        </w:rPr>
        <w:t>France</w:t>
      </w:r>
    </w:p>
    <w:p w:rsidR="00A4436C" w:rsidRPr="00A4436C" w:rsidRDefault="00A4436C" w:rsidP="00A4436C">
      <w:pPr>
        <w:rPr>
          <w:rFonts w:ascii="Arial Narrow" w:hAnsi="Arial Narrow" w:cs="Arial"/>
          <w:sz w:val="22"/>
        </w:rPr>
      </w:pPr>
      <w:r w:rsidRPr="00A4436C">
        <w:rPr>
          <w:rFonts w:ascii="Arial Narrow" w:hAnsi="Arial Narrow" w:cs="Arial"/>
          <w:sz w:val="22"/>
          <w:u w:val="single"/>
        </w:rPr>
        <w:t>Date</w:t>
      </w:r>
      <w:r w:rsidR="004429E8">
        <w:rPr>
          <w:rFonts w:ascii="Arial Narrow" w:hAnsi="Arial Narrow" w:cs="Arial"/>
          <w:sz w:val="22"/>
          <w:u w:val="single"/>
        </w:rPr>
        <w:t xml:space="preserve"> </w:t>
      </w:r>
      <w:r w:rsidRPr="00A4436C">
        <w:rPr>
          <w:rFonts w:ascii="Arial Narrow" w:hAnsi="Arial Narrow" w:cs="Arial"/>
          <w:sz w:val="22"/>
        </w:rPr>
        <w:t>:</w:t>
      </w:r>
      <w:r w:rsidRPr="00A4436C">
        <w:rPr>
          <w:rFonts w:ascii="Arial Narrow" w:hAnsi="Arial Narrow" w:cs="Arial"/>
          <w:sz w:val="22"/>
        </w:rPr>
        <w:tab/>
      </w:r>
      <w:r w:rsidRPr="00A4436C">
        <w:rPr>
          <w:rFonts w:ascii="Arial Narrow" w:hAnsi="Arial Narrow" w:cs="Arial"/>
          <w:sz w:val="22"/>
        </w:rPr>
        <w:tab/>
      </w:r>
      <w:r w:rsidRPr="00A4436C">
        <w:rPr>
          <w:rFonts w:ascii="Arial Narrow" w:hAnsi="Arial Narrow" w:cs="Arial"/>
          <w:sz w:val="22"/>
        </w:rPr>
        <w:tab/>
      </w:r>
    </w:p>
    <w:p w:rsidR="00A4436C" w:rsidRPr="00A4436C" w:rsidRDefault="00A4436C" w:rsidP="00A4436C">
      <w:pPr>
        <w:rPr>
          <w:rFonts w:ascii="Arial Narrow" w:hAnsi="Arial Narrow" w:cs="Arial"/>
          <w:bCs/>
          <w:sz w:val="22"/>
        </w:rPr>
      </w:pPr>
      <w:r w:rsidRPr="00A4436C">
        <w:rPr>
          <w:rFonts w:ascii="Arial Narrow" w:hAnsi="Arial Narrow" w:cs="Arial"/>
          <w:sz w:val="22"/>
          <w:u w:val="single"/>
        </w:rPr>
        <w:t>Appel d’Offres N°</w:t>
      </w:r>
      <w:r w:rsidR="004429E8">
        <w:rPr>
          <w:rFonts w:ascii="Arial Narrow" w:hAnsi="Arial Narrow" w:cs="Arial"/>
          <w:sz w:val="22"/>
          <w:u w:val="single"/>
        </w:rPr>
        <w:t xml:space="preserve"> </w:t>
      </w:r>
      <w:r w:rsidRPr="00A4436C">
        <w:rPr>
          <w:rFonts w:ascii="Arial Narrow" w:hAnsi="Arial Narrow" w:cs="Arial"/>
          <w:sz w:val="22"/>
        </w:rPr>
        <w:t>:</w:t>
      </w:r>
      <w:r w:rsidRPr="00A4436C">
        <w:rPr>
          <w:rFonts w:ascii="Arial Narrow" w:hAnsi="Arial Narrow" w:cs="Arial"/>
          <w:sz w:val="22"/>
        </w:rPr>
        <w:tab/>
      </w:r>
      <w:r w:rsidR="004429E8" w:rsidRPr="00297C27">
        <w:rPr>
          <w:rFonts w:ascii="Arial Narrow" w:hAnsi="Arial Narrow" w:cs="Arial"/>
          <w:color w:val="0070C0"/>
          <w:sz w:val="22"/>
        </w:rPr>
        <w:t>T/99ACT/HQ/GED07-09-2018/001</w:t>
      </w:r>
    </w:p>
    <w:p w:rsidR="00A4436C" w:rsidRPr="00A4436C" w:rsidRDefault="00A4436C" w:rsidP="00976EC8">
      <w:pPr>
        <w:pStyle w:val="Titre2"/>
        <w:pBdr>
          <w:bottom w:val="none" w:sz="0" w:space="0" w:color="auto"/>
        </w:pBdr>
        <w:shd w:val="clear" w:color="auto" w:fill="D9D9D9"/>
        <w:jc w:val="center"/>
        <w:rPr>
          <w:rFonts w:ascii="Arial Narrow" w:hAnsi="Arial Narrow" w:cs="Arial"/>
          <w:sz w:val="20"/>
        </w:rPr>
      </w:pPr>
      <w:r w:rsidRPr="00A4436C">
        <w:rPr>
          <w:rFonts w:ascii="Arial Narrow" w:hAnsi="Arial Narrow" w:cs="Arial"/>
          <w:sz w:val="28"/>
          <w:szCs w:val="12"/>
        </w:rPr>
        <w:t>A remplir par le soumissionnaire (OBLIGATOIRE)</w:t>
      </w:r>
    </w:p>
    <w:p w:rsidR="00A4436C" w:rsidRPr="00BF2584" w:rsidRDefault="00A4436C" w:rsidP="00A4436C">
      <w:pPr>
        <w:spacing w:after="120"/>
        <w:rPr>
          <w:rFonts w:ascii="Arial Narrow" w:hAnsi="Arial Narrow" w:cs="Arial"/>
          <w:b/>
          <w:sz w:val="22"/>
          <w:u w:val="single"/>
        </w:rPr>
      </w:pPr>
      <w:r w:rsidRPr="00BF2584">
        <w:rPr>
          <w:rFonts w:ascii="Arial Narrow" w:hAnsi="Arial Narrow" w:cs="Arial"/>
          <w:b/>
          <w:sz w:val="22"/>
          <w:u w:val="single"/>
        </w:rPr>
        <w:t>Détails sur la société soumissionnaire :</w:t>
      </w:r>
    </w:p>
    <w:p w:rsidR="00A4436C" w:rsidRPr="00BF2584" w:rsidRDefault="00A4436C" w:rsidP="00A4436C">
      <w:pPr>
        <w:numPr>
          <w:ilvl w:val="0"/>
          <w:numId w:val="1"/>
        </w:numPr>
        <w:spacing w:after="0" w:line="360" w:lineRule="auto"/>
        <w:ind w:right="0"/>
        <w:jc w:val="left"/>
        <w:rPr>
          <w:rFonts w:ascii="Arial Narrow" w:hAnsi="Arial Narrow" w:cs="Arial"/>
          <w:bCs/>
          <w:sz w:val="22"/>
          <w:u w:val="single"/>
        </w:rPr>
      </w:pPr>
      <w:r w:rsidRPr="00BF2584">
        <w:rPr>
          <w:rFonts w:ascii="Arial Narrow" w:hAnsi="Arial Narrow" w:cs="Arial"/>
          <w:bCs/>
          <w:sz w:val="22"/>
        </w:rPr>
        <w:t>Nom de la société :</w:t>
      </w:r>
      <w:r w:rsidRPr="00BF2584">
        <w:rPr>
          <w:rFonts w:ascii="Arial Narrow" w:hAnsi="Arial Narrow" w:cs="Arial"/>
          <w:bCs/>
          <w:sz w:val="22"/>
        </w:rPr>
        <w:tab/>
      </w:r>
      <w:r w:rsidRPr="00BF2584">
        <w:rPr>
          <w:rFonts w:ascii="Arial Narrow" w:hAnsi="Arial Narrow" w:cs="Arial"/>
          <w:bCs/>
          <w:sz w:val="22"/>
        </w:rPr>
        <w:tab/>
      </w:r>
      <w:r w:rsidRPr="00BF2584">
        <w:rPr>
          <w:rFonts w:ascii="Arial Narrow" w:hAnsi="Arial Narrow" w:cs="Arial"/>
          <w:bCs/>
          <w:sz w:val="22"/>
        </w:rPr>
        <w:tab/>
      </w:r>
      <w:r w:rsidRPr="00BF2584">
        <w:rPr>
          <w:rFonts w:ascii="Arial Narrow" w:hAnsi="Arial Narrow" w:cs="Arial"/>
          <w:bCs/>
          <w:sz w:val="22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>(</w:t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  <w:t>)</w:t>
      </w:r>
    </w:p>
    <w:p w:rsidR="00A4436C" w:rsidRPr="00BF2584" w:rsidRDefault="00A4436C" w:rsidP="00A4436C">
      <w:pPr>
        <w:numPr>
          <w:ilvl w:val="0"/>
          <w:numId w:val="1"/>
        </w:numPr>
        <w:spacing w:after="0" w:line="360" w:lineRule="auto"/>
        <w:ind w:right="0"/>
        <w:jc w:val="left"/>
        <w:rPr>
          <w:rFonts w:ascii="Arial Narrow" w:hAnsi="Arial Narrow" w:cs="Arial"/>
          <w:bCs/>
          <w:sz w:val="22"/>
        </w:rPr>
      </w:pPr>
      <w:r w:rsidRPr="00BF2584">
        <w:rPr>
          <w:rFonts w:ascii="Arial Narrow" w:hAnsi="Arial Narrow" w:cs="Arial"/>
          <w:bCs/>
          <w:sz w:val="22"/>
        </w:rPr>
        <w:t>Nom</w:t>
      </w:r>
      <w:r>
        <w:rPr>
          <w:rFonts w:ascii="Arial Narrow" w:hAnsi="Arial Narrow" w:cs="Arial"/>
          <w:bCs/>
          <w:sz w:val="22"/>
        </w:rPr>
        <w:t xml:space="preserve">, Prénom &amp; Qualité </w:t>
      </w:r>
      <w:r w:rsidRPr="00BF2584">
        <w:rPr>
          <w:rFonts w:ascii="Arial Narrow" w:hAnsi="Arial Narrow" w:cs="Arial"/>
          <w:bCs/>
          <w:sz w:val="22"/>
        </w:rPr>
        <w:t>du représentant</w:t>
      </w:r>
      <w:r>
        <w:rPr>
          <w:rFonts w:ascii="Arial Narrow" w:hAnsi="Arial Narrow" w:cs="Arial"/>
          <w:bCs/>
          <w:sz w:val="22"/>
        </w:rPr>
        <w:t xml:space="preserve"> </w:t>
      </w:r>
      <w:r w:rsidRPr="00BF2584">
        <w:rPr>
          <w:rFonts w:ascii="Arial Narrow" w:hAnsi="Arial Narrow" w:cs="Arial"/>
          <w:bCs/>
          <w:sz w:val="22"/>
        </w:rPr>
        <w:t>:</w:t>
      </w:r>
      <w:r w:rsidRPr="00BF2584">
        <w:rPr>
          <w:rFonts w:ascii="Arial Narrow" w:hAnsi="Arial Narrow" w:cs="Arial"/>
          <w:bCs/>
          <w:sz w:val="22"/>
        </w:rPr>
        <w:tab/>
      </w:r>
      <w:r w:rsidRPr="00BF2584">
        <w:rPr>
          <w:rFonts w:ascii="Arial Narrow" w:hAnsi="Arial Narrow" w:cs="Arial"/>
          <w:bCs/>
          <w:sz w:val="22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>(</w:t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  <w:t>)</w:t>
      </w:r>
    </w:p>
    <w:p w:rsidR="00A4436C" w:rsidRPr="00A4436C" w:rsidRDefault="00A4436C" w:rsidP="00A4436C">
      <w:pPr>
        <w:numPr>
          <w:ilvl w:val="0"/>
          <w:numId w:val="1"/>
        </w:numPr>
        <w:spacing w:after="0" w:line="360" w:lineRule="auto"/>
        <w:ind w:right="0"/>
        <w:jc w:val="left"/>
        <w:rPr>
          <w:rFonts w:ascii="Arial Narrow" w:hAnsi="Arial Narrow" w:cs="Arial"/>
          <w:bCs/>
          <w:sz w:val="22"/>
        </w:rPr>
      </w:pPr>
      <w:r w:rsidRPr="00BF2584">
        <w:rPr>
          <w:rFonts w:ascii="Arial Narrow" w:hAnsi="Arial Narrow" w:cs="Arial"/>
          <w:bCs/>
          <w:sz w:val="22"/>
        </w:rPr>
        <w:t>Nom</w:t>
      </w:r>
      <w:r>
        <w:rPr>
          <w:rFonts w:ascii="Arial Narrow" w:hAnsi="Arial Narrow" w:cs="Arial"/>
          <w:bCs/>
          <w:sz w:val="22"/>
        </w:rPr>
        <w:t>, Prénom &amp; E-mail du DPO</w:t>
      </w:r>
      <w:r w:rsidR="00976EC8">
        <w:rPr>
          <w:rStyle w:val="Appelnotedebasdep"/>
          <w:rFonts w:ascii="Arial Narrow" w:hAnsi="Arial Narrow" w:cs="Arial"/>
          <w:bCs/>
          <w:sz w:val="22"/>
        </w:rPr>
        <w:footnoteReference w:id="1"/>
      </w:r>
      <w:r>
        <w:rPr>
          <w:rFonts w:ascii="Arial Narrow" w:hAnsi="Arial Narrow" w:cs="Arial"/>
          <w:bCs/>
          <w:sz w:val="22"/>
        </w:rPr>
        <w:t xml:space="preserve"> de la société </w:t>
      </w:r>
      <w:r w:rsidRPr="00BF2584">
        <w:rPr>
          <w:rFonts w:ascii="Arial Narrow" w:hAnsi="Arial Narrow" w:cs="Arial"/>
          <w:bCs/>
          <w:sz w:val="22"/>
        </w:rPr>
        <w:t xml:space="preserve">: </w:t>
      </w:r>
      <w:r w:rsidRPr="00BF2584">
        <w:rPr>
          <w:rFonts w:ascii="Arial Narrow" w:hAnsi="Arial Narrow" w:cs="Arial"/>
          <w:bCs/>
          <w:sz w:val="22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>(</w:t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  <w:t>)</w:t>
      </w:r>
    </w:p>
    <w:p w:rsidR="00A4436C" w:rsidRPr="00BF2584" w:rsidRDefault="00A4436C" w:rsidP="00A4436C">
      <w:pPr>
        <w:spacing w:after="0" w:line="360" w:lineRule="auto"/>
        <w:ind w:left="4272" w:right="0" w:firstLine="684"/>
        <w:jc w:val="left"/>
        <w:rPr>
          <w:rFonts w:ascii="Arial Narrow" w:hAnsi="Arial Narrow" w:cs="Arial"/>
          <w:bCs/>
          <w:sz w:val="22"/>
        </w:rPr>
      </w:pPr>
      <w:r w:rsidRPr="00BF2584">
        <w:rPr>
          <w:rFonts w:ascii="Arial Narrow" w:hAnsi="Arial Narrow" w:cs="Arial"/>
          <w:bCs/>
          <w:sz w:val="22"/>
          <w:u w:val="single"/>
        </w:rPr>
        <w:t>(</w:t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</w:r>
      <w:r>
        <w:rPr>
          <w:rFonts w:ascii="Arial Narrow" w:hAnsi="Arial Narrow" w:cs="Arial"/>
          <w:bCs/>
          <w:sz w:val="22"/>
          <w:u w:val="single"/>
        </w:rPr>
        <w:tab/>
        <w:t>@</w:t>
      </w:r>
      <w:r>
        <w:rPr>
          <w:rFonts w:ascii="Arial Narrow" w:hAnsi="Arial Narrow" w:cs="Arial"/>
          <w:bCs/>
          <w:sz w:val="22"/>
          <w:u w:val="single"/>
        </w:rPr>
        <w:tab/>
      </w:r>
      <w:r w:rsidR="004429E8">
        <w:rPr>
          <w:rFonts w:ascii="Arial Narrow" w:hAnsi="Arial Narrow" w:cs="Arial"/>
          <w:bCs/>
          <w:sz w:val="22"/>
          <w:u w:val="single"/>
        </w:rPr>
        <w:tab/>
      </w:r>
      <w:r w:rsidRPr="00BF2584">
        <w:rPr>
          <w:rFonts w:ascii="Arial Narrow" w:hAnsi="Arial Narrow" w:cs="Arial"/>
          <w:bCs/>
          <w:sz w:val="22"/>
          <w:u w:val="single"/>
        </w:rPr>
        <w:tab/>
        <w:t>)</w:t>
      </w:r>
    </w:p>
    <w:p w:rsidR="00837F31" w:rsidRPr="00A4436C" w:rsidRDefault="00837F31" w:rsidP="00837F31">
      <w:pPr>
        <w:spacing w:after="0" w:line="259" w:lineRule="auto"/>
        <w:ind w:left="0" w:right="0" w:firstLine="0"/>
        <w:jc w:val="left"/>
        <w:rPr>
          <w:rFonts w:ascii="Arial Narrow" w:hAnsi="Arial Narrow" w:cs="Arial"/>
        </w:rPr>
      </w:pPr>
      <w:r w:rsidRPr="00A4436C">
        <w:rPr>
          <w:rFonts w:ascii="Arial Narrow" w:hAnsi="Arial Narrow" w:cs="Arial"/>
          <w:sz w:val="18"/>
        </w:rPr>
        <w:t xml:space="preserve"> </w:t>
      </w:r>
    </w:p>
    <w:tbl>
      <w:tblPr>
        <w:tblStyle w:val="TableGrid"/>
        <w:tblW w:w="10241" w:type="dxa"/>
        <w:tblInd w:w="-147" w:type="dxa"/>
        <w:tblCellMar>
          <w:top w:w="39" w:type="dxa"/>
          <w:left w:w="70" w:type="dxa"/>
          <w:right w:w="27" w:type="dxa"/>
        </w:tblCellMar>
        <w:tblLook w:val="04A0" w:firstRow="1" w:lastRow="0" w:firstColumn="1" w:lastColumn="0" w:noHBand="0" w:noVBand="1"/>
      </w:tblPr>
      <w:tblGrid>
        <w:gridCol w:w="844"/>
        <w:gridCol w:w="1283"/>
        <w:gridCol w:w="3735"/>
        <w:gridCol w:w="1226"/>
        <w:gridCol w:w="3119"/>
        <w:gridCol w:w="34"/>
      </w:tblGrid>
      <w:tr w:rsidR="00A4436C" w:rsidRPr="00A4436C" w:rsidTr="00F70B6C">
        <w:trPr>
          <w:trHeight w:val="668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4" w:firstLine="0"/>
              <w:jc w:val="center"/>
              <w:rPr>
                <w:rFonts w:ascii="Arial Narrow" w:hAnsi="Arial Narrow" w:cs="Arial"/>
                <w:color w:val="auto"/>
              </w:rPr>
            </w:pPr>
            <w:r w:rsidRPr="00A4436C">
              <w:rPr>
                <w:rFonts w:ascii="Arial Narrow" w:hAnsi="Arial Narrow" w:cs="Arial"/>
                <w:b/>
                <w:color w:val="auto"/>
                <w:sz w:val="18"/>
              </w:rPr>
              <w:t xml:space="preserve">REF.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4" w:firstLine="0"/>
              <w:jc w:val="center"/>
              <w:rPr>
                <w:rFonts w:ascii="Arial Narrow" w:hAnsi="Arial Narrow" w:cs="Arial"/>
                <w:color w:val="auto"/>
              </w:rPr>
            </w:pPr>
            <w:r w:rsidRPr="00A4436C">
              <w:rPr>
                <w:rFonts w:ascii="Arial Narrow" w:hAnsi="Arial Narrow" w:cs="Arial"/>
                <w:b/>
                <w:color w:val="auto"/>
                <w:sz w:val="18"/>
              </w:rPr>
              <w:t xml:space="preserve">THEME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3" w:firstLine="0"/>
              <w:jc w:val="center"/>
              <w:rPr>
                <w:rFonts w:ascii="Arial Narrow" w:hAnsi="Arial Narrow" w:cs="Arial"/>
                <w:color w:val="auto"/>
              </w:rPr>
            </w:pPr>
            <w:r w:rsidRPr="00A4436C">
              <w:rPr>
                <w:rFonts w:ascii="Arial Narrow" w:hAnsi="Arial Narrow" w:cs="Arial"/>
                <w:b/>
                <w:color w:val="auto"/>
                <w:sz w:val="18"/>
              </w:rPr>
              <w:t xml:space="preserve">POINT A VERIFIER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7F31" w:rsidRPr="00A4436C" w:rsidRDefault="00837F31" w:rsidP="00880843">
            <w:pPr>
              <w:spacing w:after="0" w:line="259" w:lineRule="auto"/>
              <w:ind w:left="0" w:right="40" w:firstLine="0"/>
              <w:jc w:val="center"/>
              <w:rPr>
                <w:rFonts w:ascii="Arial Narrow" w:hAnsi="Arial Narrow" w:cs="Arial"/>
                <w:color w:val="auto"/>
              </w:rPr>
            </w:pPr>
            <w:r w:rsidRPr="00A4436C">
              <w:rPr>
                <w:rFonts w:ascii="Arial Narrow" w:hAnsi="Arial Narrow" w:cs="Arial"/>
                <w:b/>
                <w:color w:val="auto"/>
                <w:sz w:val="18"/>
              </w:rPr>
              <w:t xml:space="preserve">REPONSE </w:t>
            </w:r>
          </w:p>
          <w:p w:rsidR="00837F31" w:rsidRPr="00F70B6C" w:rsidRDefault="00A4436C" w:rsidP="00A4436C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  <w:color w:val="auto"/>
              </w:rPr>
            </w:pPr>
            <w:r w:rsidRPr="00F70B6C">
              <w:rPr>
                <w:rFonts w:ascii="Arial Narrow" w:hAnsi="Arial Narrow" w:cs="Arial"/>
                <w:color w:val="auto"/>
                <w:sz w:val="18"/>
              </w:rPr>
              <w:t>Oui/Non/Non applicable (N/A)</w:t>
            </w: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5" w:firstLine="0"/>
              <w:jc w:val="center"/>
              <w:rPr>
                <w:rFonts w:ascii="Arial Narrow" w:hAnsi="Arial Narrow" w:cs="Arial"/>
                <w:color w:val="auto"/>
              </w:rPr>
            </w:pPr>
            <w:r w:rsidRPr="00A4436C">
              <w:rPr>
                <w:rFonts w:ascii="Arial Narrow" w:hAnsi="Arial Narrow" w:cs="Arial"/>
                <w:b/>
                <w:color w:val="auto"/>
                <w:sz w:val="18"/>
              </w:rPr>
              <w:t xml:space="preserve">COMMENTAIRE </w:t>
            </w:r>
          </w:p>
        </w:tc>
      </w:tr>
      <w:tr w:rsidR="00195FBB" w:rsidRPr="00A4436C" w:rsidTr="00F70B6C">
        <w:trPr>
          <w:trHeight w:val="450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1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8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Risques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0A3841" w:rsidP="00B034CE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>Établir un registre des traitements</w:t>
            </w:r>
            <w:r w:rsidR="00837F31" w:rsidRPr="00A4436C">
              <w:rPr>
                <w:rFonts w:ascii="Arial Narrow" w:hAnsi="Arial Narrow" w:cs="Arial"/>
                <w:sz w:val="18"/>
              </w:rPr>
              <w:t xml:space="preserve"> </w:t>
            </w:r>
            <w:r w:rsidRPr="00A4436C">
              <w:rPr>
                <w:rFonts w:ascii="Arial Narrow" w:hAnsi="Arial Narrow" w:cs="Arial"/>
                <w:sz w:val="18"/>
              </w:rPr>
              <w:t>de données à caractère personnel mis en œuvre</w:t>
            </w:r>
            <w:r w:rsidR="00B034CE" w:rsidRPr="00A4436C">
              <w:rPr>
                <w:rFonts w:ascii="Arial Narrow" w:hAnsi="Arial Narrow" w:cs="Arial"/>
                <w:sz w:val="18"/>
              </w:rPr>
              <w:t xml:space="preserve"> par la solution proposée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rPr>
          <w:trHeight w:val="451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A3841" w:rsidRPr="00A4436C" w:rsidRDefault="000A384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A3841" w:rsidRPr="00A4436C" w:rsidRDefault="000A384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41" w:rsidRPr="00A4436C" w:rsidRDefault="000A3841" w:rsidP="00B034CE">
            <w:pPr>
              <w:spacing w:after="0" w:line="259" w:lineRule="auto"/>
              <w:ind w:left="2" w:right="0" w:firstLine="0"/>
              <w:rPr>
                <w:rFonts w:ascii="Arial Narrow" w:hAnsi="Arial Narrow" w:cs="Arial"/>
                <w:sz w:val="18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Documentation détaillant l’intégration des principes de </w:t>
            </w:r>
            <w:r w:rsidRPr="00A4436C">
              <w:rPr>
                <w:rFonts w:ascii="Arial Narrow" w:hAnsi="Arial Narrow" w:cs="Arial"/>
                <w:i/>
                <w:sz w:val="18"/>
              </w:rPr>
              <w:t xml:space="preserve">Security By </w:t>
            </w:r>
            <w:r w:rsidR="00B034CE" w:rsidRPr="00A4436C">
              <w:rPr>
                <w:rFonts w:ascii="Arial Narrow" w:hAnsi="Arial Narrow" w:cs="Arial"/>
                <w:i/>
                <w:sz w:val="18"/>
              </w:rPr>
              <w:t>Design</w:t>
            </w:r>
            <w:r w:rsidRPr="00A4436C">
              <w:rPr>
                <w:rFonts w:ascii="Arial Narrow" w:hAnsi="Arial Narrow" w:cs="Arial"/>
                <w:i/>
                <w:sz w:val="18"/>
              </w:rPr>
              <w:t xml:space="preserve"> </w:t>
            </w:r>
            <w:r w:rsidRPr="00A4436C">
              <w:rPr>
                <w:rFonts w:ascii="Arial Narrow" w:hAnsi="Arial Narrow" w:cs="Arial"/>
                <w:sz w:val="18"/>
              </w:rPr>
              <w:t xml:space="preserve">et de </w:t>
            </w:r>
            <w:proofErr w:type="spellStart"/>
            <w:r w:rsidRPr="00A4436C">
              <w:rPr>
                <w:rFonts w:ascii="Arial Narrow" w:hAnsi="Arial Narrow" w:cs="Arial"/>
                <w:i/>
                <w:sz w:val="18"/>
              </w:rPr>
              <w:t>Privacy</w:t>
            </w:r>
            <w:proofErr w:type="spellEnd"/>
            <w:r w:rsidRPr="00A4436C">
              <w:rPr>
                <w:rFonts w:ascii="Arial Narrow" w:hAnsi="Arial Narrow" w:cs="Arial"/>
                <w:i/>
                <w:sz w:val="18"/>
              </w:rPr>
              <w:t xml:space="preserve"> By </w:t>
            </w:r>
            <w:r w:rsidR="00B034CE" w:rsidRPr="00A4436C">
              <w:rPr>
                <w:rFonts w:ascii="Arial Narrow" w:hAnsi="Arial Narrow" w:cs="Arial"/>
                <w:i/>
                <w:sz w:val="18"/>
              </w:rPr>
              <w:t>Design</w:t>
            </w:r>
            <w:r w:rsidRPr="00A4436C">
              <w:rPr>
                <w:rFonts w:ascii="Arial Narrow" w:hAnsi="Arial Narrow" w:cs="Arial"/>
                <w:sz w:val="18"/>
              </w:rPr>
              <w:t xml:space="preserve"> dans la solution proposée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41" w:rsidRPr="00A4436C" w:rsidRDefault="000A384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41" w:rsidRPr="00A4436C" w:rsidRDefault="000A384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</w:tr>
      <w:tr w:rsidR="00195FBB" w:rsidRPr="00A4436C" w:rsidTr="00F70B6C">
        <w:trPr>
          <w:trHeight w:val="451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  <w:sz w:val="18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Procédure détaillant l’aide apportée à </w:t>
            </w:r>
            <w:proofErr w:type="spellStart"/>
            <w:r w:rsidRPr="00A4436C">
              <w:rPr>
                <w:rFonts w:ascii="Arial Narrow" w:hAnsi="Arial Narrow" w:cs="Arial"/>
                <w:sz w:val="18"/>
              </w:rPr>
              <w:t>Acted</w:t>
            </w:r>
            <w:proofErr w:type="spellEnd"/>
            <w:r w:rsidRPr="00A4436C">
              <w:rPr>
                <w:rFonts w:ascii="Arial Narrow" w:hAnsi="Arial Narrow" w:cs="Arial"/>
                <w:sz w:val="18"/>
              </w:rPr>
              <w:t xml:space="preserve"> en cas d’exercice d</w:t>
            </w:r>
            <w:r w:rsidR="00B034CE" w:rsidRPr="00A4436C">
              <w:rPr>
                <w:rFonts w:ascii="Arial Narrow" w:hAnsi="Arial Narrow" w:cs="Arial"/>
                <w:sz w:val="18"/>
              </w:rPr>
              <w:t>e s</w:t>
            </w:r>
            <w:r w:rsidRPr="00A4436C">
              <w:rPr>
                <w:rFonts w:ascii="Arial Narrow" w:hAnsi="Arial Narrow" w:cs="Arial"/>
                <w:sz w:val="18"/>
              </w:rPr>
              <w:t>es droits par une personne concernée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</w:tr>
      <w:tr w:rsidR="00837F31" w:rsidRPr="00A4436C" w:rsidTr="00F70B6C">
        <w:trPr>
          <w:trHeight w:val="451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Déterminer les menaces et leurs impacts sur la vie privée des personnes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rPr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6C" w:rsidRPr="00A4436C" w:rsidRDefault="00A3736C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6C" w:rsidRPr="00A4436C" w:rsidRDefault="00A3736C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6C" w:rsidRPr="00A4436C" w:rsidRDefault="00A3736C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  <w:sz w:val="18"/>
              </w:rPr>
            </w:pPr>
            <w:r w:rsidRPr="00A4436C">
              <w:rPr>
                <w:rFonts w:ascii="Arial Narrow" w:hAnsi="Arial Narrow" w:cs="Arial"/>
                <w:sz w:val="18"/>
              </w:rPr>
              <w:t>Procédure en cas de violation des données à caractère personnel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6C" w:rsidRPr="00A4436C" w:rsidRDefault="00A3736C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6C" w:rsidRPr="00A4436C" w:rsidRDefault="00A3736C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</w:tr>
      <w:tr w:rsidR="00195FBB" w:rsidRPr="00A4436C" w:rsidTr="00F70B6C">
        <w:trPr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  <w:sz w:val="18"/>
              </w:rPr>
            </w:pPr>
            <w:r w:rsidRPr="00A4436C">
              <w:rPr>
                <w:rFonts w:ascii="Arial Narrow" w:hAnsi="Arial Narrow" w:cs="Arial"/>
                <w:sz w:val="18"/>
              </w:rPr>
              <w:t>Procédure de restitution des données en cas de fin de contrat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97" w:rsidRPr="00A4436C" w:rsidRDefault="00C95997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</w:tr>
      <w:tr w:rsidR="00837F31" w:rsidRPr="00A4436C" w:rsidTr="00F70B6C">
        <w:trPr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œuvre des mesures de sécurité adaptées aux menaces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rPr>
          <w:trHeight w:val="20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2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Authentification des utilisateurs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Définir un identifiant (login) unique à chaque utilisateur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89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41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>Adopter une politique de mot de passe utilisateur rigoureuse (mots de passe de 8 caractères minimum avec des caractères de types différents</w:t>
            </w:r>
            <w:r w:rsidR="000A3841" w:rsidRPr="00A4436C">
              <w:rPr>
                <w:rFonts w:ascii="Arial Narrow" w:hAnsi="Arial Narrow" w:cs="Arial"/>
                <w:sz w:val="18"/>
              </w:rPr>
              <w:t xml:space="preserve"> et de 10 </w:t>
            </w:r>
            <w:r w:rsidR="00B034CE" w:rsidRPr="00A4436C">
              <w:rPr>
                <w:rFonts w:ascii="Arial Narrow" w:hAnsi="Arial Narrow" w:cs="Arial"/>
                <w:sz w:val="18"/>
              </w:rPr>
              <w:t>caractères</w:t>
            </w:r>
            <w:r w:rsidR="000A3841" w:rsidRPr="00A4436C">
              <w:rPr>
                <w:rFonts w:ascii="Arial Narrow" w:hAnsi="Arial Narrow" w:cs="Arial"/>
                <w:sz w:val="18"/>
              </w:rPr>
              <w:t xml:space="preserve"> minimum pour les comptes administrateurs</w:t>
            </w:r>
            <w:r w:rsidRPr="00A4436C">
              <w:rPr>
                <w:rFonts w:ascii="Arial Narrow" w:hAnsi="Arial Narrow" w:cs="Arial"/>
                <w:sz w:val="18"/>
              </w:rPr>
              <w:t xml:space="preserve">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22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Changer de mot de passe régulièrement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45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Obligez l’utilisateur à changer son mot de passe après réinitialisation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12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Stockage des mots de passe dans un fichier crypté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22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Choix des mots de passe sans lien avec soi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23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communiquer son mot de passe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rPr>
          <w:trHeight w:val="230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3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Habilitations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Définir des profils d’habilitation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23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A4436C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</w:rPr>
              <w:t xml:space="preserve">Supprimer les permissions </w:t>
            </w:r>
            <w:r w:rsidR="00837F31" w:rsidRPr="00A4436C">
              <w:rPr>
                <w:rFonts w:ascii="Arial Narrow" w:hAnsi="Arial Narrow" w:cs="Arial"/>
                <w:sz w:val="18"/>
              </w:rPr>
              <w:t xml:space="preserve">d’accès obsolètes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8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45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Documenter les procédures d’exploitation, les tenir à jour et les rendre disponibles aux utilisateurs concernés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Rédiger une charte informatique (annexée au règlement intérieur)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45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Définir des comptes nominatifs (pas de comptes partagés par plusieurs personnes)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367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43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Etablir, documenter et réexaminer une politique de contrôle d'accès en rapport avec la finalité du traitement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67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44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Classifier les informations de manière à indiquer si celles-ci sont des données sensibles </w:t>
            </w:r>
            <w:r w:rsidR="00A3736C" w:rsidRPr="00A4436C">
              <w:rPr>
                <w:rFonts w:ascii="Arial Narrow" w:hAnsi="Arial Narrow" w:cs="Arial"/>
                <w:sz w:val="18"/>
              </w:rPr>
              <w:t>et cloisonnement de celles-ci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56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43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Envoyer régulièrement à tous les utilisateurs les mises à jour des politiques et procédures pertinentes pour leur fonction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2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Sensibiliser et informer à la sécurité de l'information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rPr>
          <w:trHeight w:val="2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la signature d'un engagement de confidentialité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rPr>
          <w:trHeight w:val="449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6EC8" w:rsidRPr="00A4436C" w:rsidRDefault="00976EC8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4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6EC8" w:rsidRPr="00A4436C" w:rsidRDefault="00976EC8" w:rsidP="00880843">
            <w:pPr>
              <w:spacing w:after="0" w:line="259" w:lineRule="auto"/>
              <w:ind w:left="14" w:right="19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Sécurité des postes de travail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>Limiter le nombre de tentatives d’accès à un compte (distinction utilisateurs/administrateurs)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rPr>
          <w:trHeight w:val="230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Installer un «pare-feu» (firewall) logiciel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rPr>
          <w:trHeight w:val="164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Utiliser des antivirus régulièrement mis à jour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rPr>
          <w:trHeight w:val="451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une procédure de verrouillage automatique de session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2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blPrEx>
          <w:tblCellMar>
            <w:top w:w="36" w:type="dxa"/>
            <w:right w:w="30" w:type="dxa"/>
          </w:tblCellMar>
        </w:tblPrEx>
        <w:trPr>
          <w:trHeight w:val="170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utiliser des comptes d'exploitation obsolètes </w:t>
            </w:r>
          </w:p>
        </w:tc>
        <w:tc>
          <w:tcPr>
            <w:tcW w:w="1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blPrEx>
          <w:tblCellMar>
            <w:top w:w="36" w:type="dxa"/>
            <w:right w:w="30" w:type="dxa"/>
          </w:tblCellMar>
        </w:tblPrEx>
        <w:trPr>
          <w:trHeight w:val="449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Installer les mises à jour critiques des systèmes d'exploitation sans délai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blPrEx>
          <w:tblCellMar>
            <w:top w:w="36" w:type="dxa"/>
            <w:right w:w="30" w:type="dxa"/>
          </w:tblCellMar>
        </w:tblPrEx>
        <w:trPr>
          <w:trHeight w:val="316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44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Limiter les applications nécessitant des droits de niveau administrateur pour leur exécution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blPrEx>
          <w:tblCellMar>
            <w:top w:w="36" w:type="dxa"/>
            <w:right w:w="30" w:type="dxa"/>
          </w:tblCellMar>
        </w:tblPrEx>
        <w:trPr>
          <w:trHeight w:val="670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44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Limiter les services du système d'exploitation s'exécutant sur le poste de travail à ceux strictement nécessaires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976EC8" w:rsidRPr="00A4436C" w:rsidTr="00F70B6C">
        <w:tblPrEx>
          <w:tblCellMar>
            <w:top w:w="36" w:type="dxa"/>
            <w:right w:w="30" w:type="dxa"/>
          </w:tblCellMar>
        </w:tblPrEx>
        <w:trPr>
          <w:trHeight w:val="307"/>
        </w:trPr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45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à jour les applications lorsque des failles critiques ont été identifiées et corrigées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A4436C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1109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5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Sécurisation de l'informatique mobile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2" w:line="23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Prévoyez des moyens de chiffrement pour les ordinateurs portables et </w:t>
            </w:r>
          </w:p>
          <w:p w:rsidR="00837F31" w:rsidRPr="00A4436C" w:rsidRDefault="00837F31" w:rsidP="00880843">
            <w:pPr>
              <w:spacing w:after="0" w:line="259" w:lineRule="auto"/>
              <w:ind w:left="0" w:right="45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des moyens de chiffrement pour les ordinateurs portables et les unités de stockage amovibles (clés USB, CD, DVD…)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67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2" w:line="23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conserver des données personnelles dans les équipements </w:t>
            </w:r>
          </w:p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mobiles lors de déplacement à l'étranger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416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45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Verrouillage automatique des appareils mobiles après quelques minutes d'inactivité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230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6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Sauvegardes et continuité de d'activité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Effectuer des sauvegardes régulières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Stocker les supports de sauvegarde sur un site extérieur </w:t>
            </w:r>
            <w:r w:rsidR="00A3736C" w:rsidRPr="00A4436C">
              <w:rPr>
                <w:rFonts w:ascii="Arial Narrow" w:hAnsi="Arial Narrow" w:cs="Arial"/>
                <w:sz w:val="18"/>
              </w:rPr>
              <w:t>situé sur le territoire de l’Union européenne et dans l’idéal sur le territoire français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65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44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Sécuriser le lieu de stockage des sauvegardes par au moins une des solutions suivantes : chiffrement des sauvegardes, chiffrement des données, stockage dans un lieu sécurisé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23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place des détecteurs de fumée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Les matériels informatiques ne doivent pas être mis au sol mais surélevés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13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Utilisation d'onduleur pour les matériels critiques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451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une redondance de matérielle des unités de stockage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224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506EBA" w:rsidP="00506EBA">
            <w:pPr>
              <w:tabs>
                <w:tab w:val="center" w:pos="263"/>
                <w:tab w:val="center" w:pos="823"/>
                <w:tab w:val="center" w:pos="1338"/>
                <w:tab w:val="center" w:pos="2300"/>
                <w:tab w:val="center" w:pos="3110"/>
              </w:tabs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</w:rPr>
              <w:t xml:space="preserve">Prévoir et </w:t>
            </w:r>
            <w:r>
              <w:rPr>
                <w:rFonts w:ascii="Arial Narrow" w:hAnsi="Arial Narrow" w:cs="Arial"/>
                <w:sz w:val="18"/>
              </w:rPr>
              <w:tab/>
              <w:t xml:space="preserve">tester </w:t>
            </w:r>
            <w:r>
              <w:rPr>
                <w:rFonts w:ascii="Arial Narrow" w:hAnsi="Arial Narrow" w:cs="Arial"/>
                <w:sz w:val="18"/>
              </w:rPr>
              <w:tab/>
              <w:t xml:space="preserve">régulièrement </w:t>
            </w:r>
            <w:r w:rsidR="00837F31" w:rsidRPr="00A4436C">
              <w:rPr>
                <w:rFonts w:ascii="Arial Narrow" w:hAnsi="Arial Narrow" w:cs="Arial"/>
                <w:sz w:val="18"/>
              </w:rPr>
              <w:t xml:space="preserve">la continuité d’activité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1202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7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8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Maintenance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43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Garantir que les données ne seront pas compromises lors d'une intervention de maintenance par une au moins des solutions suivantes : enregistrement des interventions dans une main courante, encadrement des interventions par des tiers, ne pas autoriser la télémaintenance sans autorisation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451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Effacer les données de tout matériel avant sa mise au rebut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Recueillir l’accord de l’utilisateur avant toute intervention sur son poste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527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195FBB">
            <w:pPr>
              <w:spacing w:after="0" w:line="241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installer des applications pour la maintenance vulnérables (http://www.cert.ssi.gouv.fr/site/CERTA2009-AVI-035/)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837F31" w:rsidRPr="00A4436C" w:rsidTr="00F70B6C">
        <w:tblPrEx>
          <w:tblCellMar>
            <w:top w:w="36" w:type="dxa"/>
            <w:right w:w="30" w:type="dxa"/>
          </w:tblCellMar>
        </w:tblPrEx>
        <w:trPr>
          <w:trHeight w:val="67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41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Restreindre, voire interdire l'accès physique et logique, aux ports de </w:t>
            </w:r>
          </w:p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diagnostic et de configuration à distance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30" w:type="dxa"/>
          </w:tblCellMar>
        </w:tblPrEx>
        <w:trPr>
          <w:trHeight w:val="855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5FBB" w:rsidRPr="00A4436C" w:rsidRDefault="00195FBB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8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Traçabilité et gestion des incidents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43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>Prévoir un système de journalisation des activités des utilisateurs, des anomalies et des évènements liés à la sécurité avec au minimum l'identifiant, la date et l'heure de connexion et de déconnexion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629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44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utiliser les informations issues des dispositifs de journalisation à d'autres fins que celles de garantir le bon usage du système informatique </w:t>
            </w:r>
          </w:p>
        </w:tc>
        <w:tc>
          <w:tcPr>
            <w:tcW w:w="1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06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46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Synchronisation des horloges à l'aide d'une source de temps fiable et préalablement définie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543"/>
        </w:trPr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44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Le candidat doit se tenir informé des vulnérabilités techniques des systèmes et entreprendre les actions appropriées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9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Sécurité des locaux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Restreindre les accès aux locaux au moyen de portes verrouillées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5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Installer des alarmes anti-intrusion et vérifiez-les périodiquement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29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Vérifier et entretenir le matériel de climatisation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65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45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place des dispositifs d'authentification pour accéder aux zones dans lesquelles des informations sensibles sont traitées ou stockées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31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45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A l'intérieur des zones d'accès réglementé, exiger le port d'un moyen d'identification visible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26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Les visiteurs doivent avoir un accès limité (la date et heure de leur arrivée doivent être consignées)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67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41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Réexaminer et mettre à jour régulièrement les permissions d'accès aux zones </w:t>
            </w:r>
          </w:p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sécurisées et les supprimer si nécessaire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230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48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10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Sécurité du réseau informatique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Limiter les flux réseau au strict nécessaire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Sécuriser les accès distants des appareils informatiques nomades par VPN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Utiliser le protocole SSL avec une clé de 128 bits pour les services web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67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46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utiliser le protocole </w:t>
            </w:r>
            <w:proofErr w:type="spellStart"/>
            <w:r w:rsidRPr="00A4436C">
              <w:rPr>
                <w:rFonts w:ascii="Arial Narrow" w:hAnsi="Arial Narrow" w:cs="Arial"/>
                <w:sz w:val="18"/>
              </w:rPr>
              <w:t>telnet</w:t>
            </w:r>
            <w:proofErr w:type="spellEnd"/>
            <w:r w:rsidRPr="00A4436C">
              <w:rPr>
                <w:rFonts w:ascii="Arial Narrow" w:hAnsi="Arial Narrow" w:cs="Arial"/>
                <w:sz w:val="18"/>
              </w:rPr>
              <w:t xml:space="preserve"> pour la connexion à distance aux équipements actifs du réseau (préférer SSH)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506EBA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œuvre le protocole WPA - AES/CCMP pour les réseaux </w:t>
            </w:r>
            <w:proofErr w:type="spellStart"/>
            <w:r w:rsidRPr="00A4436C">
              <w:rPr>
                <w:rFonts w:ascii="Arial Narrow" w:hAnsi="Arial Narrow" w:cs="Arial"/>
                <w:sz w:val="18"/>
              </w:rPr>
              <w:t>WiFi</w:t>
            </w:r>
            <w:proofErr w:type="spellEnd"/>
            <w:r w:rsidRPr="00A4436C">
              <w:rPr>
                <w:rFonts w:ascii="Arial Narrow" w:hAnsi="Arial Narrow" w:cs="Arial"/>
                <w:sz w:val="18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Cloisonner le réseau (segmenter le réseau en sous-réseaux logiques)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5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place des systèmes de détection d'intrusion (IDS)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624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195FBB">
            <w:pPr>
              <w:spacing w:after="1" w:line="240" w:lineRule="auto"/>
              <w:ind w:left="0" w:right="44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place l'identification automatique de matériels comme moyen d'authentification des connexions à partir de lieux et matériels spécifiques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821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5FBB" w:rsidRPr="00A4436C" w:rsidRDefault="00195FBB" w:rsidP="00880843">
            <w:pPr>
              <w:spacing w:after="0" w:line="259" w:lineRule="auto"/>
              <w:ind w:left="48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11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Sécurité des serveurs et des applications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9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Adoptez une politique de mot de passe administrateur rigoureuse (mots de passe de 10 caractères minimum avec des caractères de types différents pour les mots de passe d'administration)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Changer de mot de passe au départ d'un administrateur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52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Installer les mises à jour critiques des systèmes d'exploitation sans délai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667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utiliser les serveurs à d'autres fins que celles prévues (naviguer sur internet, accéder à la messagerie…)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451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2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Utiliser des comptes nominatifs pour l'accès aux bases de données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29" w:type="dxa"/>
          </w:tblCellMar>
        </w:tblPrEx>
        <w:trPr>
          <w:gridAfter w:val="1"/>
          <w:wAfter w:w="34" w:type="dxa"/>
          <w:trHeight w:val="654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œuvre des mesures et/ou installer des dispositifs pour se prémunir des attaques par injection de code SQL, scripts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44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des mesures particulières pour les bases de données sensibles </w:t>
            </w:r>
          </w:p>
        </w:tc>
        <w:tc>
          <w:tcPr>
            <w:tcW w:w="1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160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Assurer une continuité de disponibilité des données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C8" w:rsidRPr="00976EC8" w:rsidRDefault="00976EC8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380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à jour les applications lorsque des failles critiques ont été identifiées et corrigées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utiliser des services non sécurisés (authentification en clair, flux en clair…)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375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placer des bases de données dans une zone directement accessible depuis internet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370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195FBB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Les systèmes sensibles doivent disposer d'un environnement informatique dédié (isolé)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791"/>
        </w:trPr>
        <w:tc>
          <w:tcPr>
            <w:tcW w:w="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Utilisation d'outils de détection des vulnérabilités (http://nmap.org/, http://www.tenable.com/products/nessusvulnerability-scanner, https://cirt.net/nikto2)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195FBB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340"/>
        </w:trPr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Assurer l'intégrité des traitements par le recours à des signatures garantissant qu'il n'a subi aucune altération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BB" w:rsidRPr="00A4436C" w:rsidRDefault="00195FBB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48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12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7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Sous-traitance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dans les contrats une clause de confidentialité </w:t>
            </w:r>
            <w:r w:rsidR="00CA5813" w:rsidRPr="00A4436C">
              <w:rPr>
                <w:rFonts w:ascii="Arial Narrow" w:hAnsi="Arial Narrow" w:cs="Arial"/>
                <w:sz w:val="18"/>
              </w:rPr>
              <w:t>et une clause protection des données à caractère personnel intégrant, a minima, les obligations de sécurité présentées dans le présent document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386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Prendre des dispositions (audits de sécurité, visite des installations…) afin de s'assurer de l'effectivité des </w:t>
            </w:r>
            <w:r w:rsidRPr="00A4436C">
              <w:rPr>
                <w:rFonts w:ascii="Arial Narrow" w:hAnsi="Arial Narrow" w:cs="Arial"/>
                <w:sz w:val="18"/>
              </w:rPr>
              <w:lastRenderedPageBreak/>
              <w:t xml:space="preserve">garanties offertes par le sous-traitant en matière de protection des données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306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les conditions de restitution des données et leur destruction en cas de rupture ou à la fin du contrat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888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avoir recours à des services offrant des fonctionnalités d'informatique répartie (cloud) sans garantie quant à la localisation géographique effective des données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48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13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20" w:firstLine="0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Archivage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Mettre en œuvre des modalités d’accès spécifiques aux données archivées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13" w:rsidRPr="00A4436C" w:rsidRDefault="00CA5813" w:rsidP="00880843">
            <w:pPr>
              <w:spacing w:after="0" w:line="259" w:lineRule="auto"/>
              <w:ind w:left="48" w:right="0" w:firstLine="0"/>
              <w:jc w:val="left"/>
              <w:rPr>
                <w:rFonts w:ascii="Arial Narrow" w:hAnsi="Arial Narrow" w:cs="Arial"/>
                <w:b/>
                <w:sz w:val="18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13" w:rsidRPr="00A4436C" w:rsidRDefault="00CA5813" w:rsidP="00880843">
            <w:pPr>
              <w:spacing w:after="0" w:line="259" w:lineRule="auto"/>
              <w:ind w:left="0" w:right="20" w:firstLine="0"/>
              <w:jc w:val="center"/>
              <w:rPr>
                <w:rFonts w:ascii="Arial Narrow" w:hAnsi="Arial Narrow" w:cs="Arial"/>
                <w:b/>
                <w:sz w:val="18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13" w:rsidRPr="00A4436C" w:rsidRDefault="00CA5813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  <w:sz w:val="18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Prévoir un système de configuration des durées de conservation des données à caractère personnel distinguant durée </w:t>
            </w:r>
            <w:r w:rsidR="00B034CE" w:rsidRPr="00A4436C">
              <w:rPr>
                <w:rFonts w:ascii="Arial Narrow" w:hAnsi="Arial Narrow" w:cs="Arial"/>
                <w:sz w:val="18"/>
              </w:rPr>
              <w:t>active</w:t>
            </w:r>
            <w:r w:rsidRPr="00A4436C">
              <w:rPr>
                <w:rFonts w:ascii="Arial Narrow" w:hAnsi="Arial Narrow" w:cs="Arial"/>
                <w:sz w:val="18"/>
              </w:rPr>
              <w:t xml:space="preserve"> de la donnée et durée d’archivage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13" w:rsidRPr="00A4436C" w:rsidRDefault="00CA5813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13" w:rsidRPr="00A4436C" w:rsidRDefault="00CA5813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  <w:sz w:val="18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11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Détruire les archives obsolètes de manière sécurisée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74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222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Ne pas utiliser des supports présentant une garantie de longévité suffisante (CD, DVD…)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230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48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Fiche 14 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31" w:rsidRPr="00A4436C" w:rsidRDefault="00837F31" w:rsidP="00880843">
            <w:pPr>
              <w:spacing w:after="0" w:line="259" w:lineRule="auto"/>
              <w:ind w:left="0" w:right="0" w:firstLine="32"/>
              <w:jc w:val="center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b/>
                <w:sz w:val="18"/>
              </w:rPr>
              <w:t xml:space="preserve">Echange d'informations avec d'autres organismes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Chiffrer les données avant leur envoi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230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S'assurer qu’il s’agit du bon destinataire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Transmettre le secret lors d’un envoi distinct et via un canal différent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372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>Ne pas transmettre des données personnelles en clair via des messageri</w:t>
            </w:r>
            <w:r w:rsidR="00195FBB">
              <w:rPr>
                <w:rFonts w:ascii="Arial Narrow" w:hAnsi="Arial Narrow" w:cs="Arial"/>
                <w:sz w:val="18"/>
              </w:rPr>
              <w:t>es web du type Gmail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49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Utiliser des calculs d'empreintes pour s'assurer de l'intégrité des données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  <w:tr w:rsidR="00A4436C" w:rsidRPr="00A4436C" w:rsidTr="00F70B6C">
        <w:tblPrEx>
          <w:tblCellMar>
            <w:top w:w="36" w:type="dxa"/>
            <w:right w:w="56" w:type="dxa"/>
          </w:tblCellMar>
        </w:tblPrEx>
        <w:trPr>
          <w:gridAfter w:val="1"/>
          <w:wAfter w:w="34" w:type="dxa"/>
          <w:trHeight w:val="451"/>
        </w:trPr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16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  <w:r w:rsidRPr="00A4436C">
              <w:rPr>
                <w:rFonts w:ascii="Arial Narrow" w:hAnsi="Arial Narrow" w:cs="Arial"/>
                <w:sz w:val="18"/>
              </w:rPr>
              <w:t xml:space="preserve">Utiliser des signatures électroniques pour garantir l'origine de la transmission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31" w:rsidRPr="00A4436C" w:rsidRDefault="00837F31" w:rsidP="00880843">
            <w:pPr>
              <w:spacing w:after="0" w:line="259" w:lineRule="auto"/>
              <w:ind w:left="0" w:right="0" w:firstLine="0"/>
              <w:jc w:val="left"/>
              <w:rPr>
                <w:rFonts w:ascii="Arial Narrow" w:hAnsi="Arial Narrow" w:cs="Arial"/>
              </w:rPr>
            </w:pPr>
          </w:p>
        </w:tc>
      </w:tr>
    </w:tbl>
    <w:p w:rsidR="00D02384" w:rsidRDefault="006B4814" w:rsidP="00976EC8">
      <w:pPr>
        <w:rPr>
          <w:rFonts w:ascii="Arial Narrow" w:hAnsi="Arial Narrow" w:cs="Arial"/>
        </w:rPr>
      </w:pPr>
    </w:p>
    <w:p w:rsidR="00B02658" w:rsidRDefault="00B02658" w:rsidP="00B02658">
      <w:pP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Signature autorisée &amp; tampon : _________________________</w:t>
      </w:r>
    </w:p>
    <w:p w:rsidR="00976EC8" w:rsidRDefault="00976EC8" w:rsidP="00506EBA">
      <w:pPr>
        <w:ind w:left="0" w:firstLine="0"/>
        <w:rPr>
          <w:rFonts w:ascii="Arial Narrow" w:hAnsi="Arial Narrow" w:cs="Arial"/>
        </w:rPr>
      </w:pPr>
    </w:p>
    <w:p w:rsidR="00976EC8" w:rsidRPr="00A4436C" w:rsidRDefault="00976EC8" w:rsidP="00976EC8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***Fin ***</w:t>
      </w:r>
    </w:p>
    <w:sectPr w:rsidR="00976EC8" w:rsidRPr="00A4436C" w:rsidSect="00A44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9E6" w:rsidRDefault="002809E6" w:rsidP="00976EC8">
      <w:pPr>
        <w:spacing w:after="0" w:line="240" w:lineRule="auto"/>
      </w:pPr>
      <w:r>
        <w:separator/>
      </w:r>
    </w:p>
  </w:endnote>
  <w:endnote w:type="continuationSeparator" w:id="0">
    <w:p w:rsidR="002809E6" w:rsidRDefault="002809E6" w:rsidP="00976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096" w:rsidRDefault="005D409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096" w:rsidRDefault="005D409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096" w:rsidRDefault="005D409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9E6" w:rsidRDefault="002809E6" w:rsidP="00976EC8">
      <w:pPr>
        <w:spacing w:after="0" w:line="240" w:lineRule="auto"/>
      </w:pPr>
      <w:r>
        <w:separator/>
      </w:r>
    </w:p>
  </w:footnote>
  <w:footnote w:type="continuationSeparator" w:id="0">
    <w:p w:rsidR="002809E6" w:rsidRDefault="002809E6" w:rsidP="00976EC8">
      <w:pPr>
        <w:spacing w:after="0" w:line="240" w:lineRule="auto"/>
      </w:pPr>
      <w:r>
        <w:continuationSeparator/>
      </w:r>
    </w:p>
  </w:footnote>
  <w:footnote w:id="1">
    <w:p w:rsidR="00976EC8" w:rsidRPr="004429E8" w:rsidRDefault="00976EC8">
      <w:pPr>
        <w:pStyle w:val="Notedebasdepage"/>
        <w:rPr>
          <w:rFonts w:ascii="Arial Narrow" w:hAnsi="Arial Narrow" w:cs="Arial"/>
        </w:rPr>
      </w:pPr>
      <w:r w:rsidRPr="004429E8">
        <w:rPr>
          <w:rStyle w:val="Appelnotedebasdep"/>
          <w:rFonts w:ascii="Arial Narrow" w:hAnsi="Arial Narrow" w:cs="Arial"/>
        </w:rPr>
        <w:footnoteRef/>
      </w:r>
      <w:r w:rsidRPr="004429E8">
        <w:rPr>
          <w:rFonts w:ascii="Arial Narrow" w:hAnsi="Arial Narrow" w:cs="Arial"/>
        </w:rPr>
        <w:t xml:space="preserve"> Data Protection </w:t>
      </w:r>
      <w:proofErr w:type="spellStart"/>
      <w:r w:rsidRPr="004429E8">
        <w:rPr>
          <w:rFonts w:ascii="Arial Narrow" w:hAnsi="Arial Narrow" w:cs="Arial"/>
        </w:rPr>
        <w:t>Officer</w:t>
      </w:r>
      <w:proofErr w:type="spellEnd"/>
      <w:r w:rsidRPr="004429E8">
        <w:rPr>
          <w:rFonts w:ascii="Arial Narrow" w:hAnsi="Arial Narrow" w:cs="Arial"/>
        </w:rPr>
        <w:t xml:space="preserve"> (Responsable de la Protection des Données)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096" w:rsidRDefault="005D409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EC8" w:rsidRPr="006B4814" w:rsidRDefault="00976EC8" w:rsidP="005D4096">
    <w:pPr>
      <w:pStyle w:val="Titre5"/>
      <w:jc w:val="right"/>
      <w:rPr>
        <w:rFonts w:ascii="Arial Narrow" w:hAnsi="Arial Narrow"/>
        <w:color w:val="808080"/>
        <w:sz w:val="24"/>
        <w:szCs w:val="24"/>
        <w:lang w:val="en-US"/>
      </w:rPr>
    </w:pPr>
    <w:r>
      <w:rPr>
        <w:rFonts w:ascii="Arial Narrow" w:hAnsi="Arial Narrow"/>
        <w:noProof/>
        <w:color w:val="auto"/>
        <w:sz w:val="24"/>
        <w:szCs w:val="24"/>
        <w:lang w:val="en-US" w:eastAsia="en-US"/>
      </w:rPr>
      <w:drawing>
        <wp:inline distT="0" distB="0" distL="0" distR="0" wp14:anchorId="2FDDFF4D" wp14:editId="72980490">
          <wp:extent cx="2887980" cy="678180"/>
          <wp:effectExtent l="0" t="0" r="7620" b="7620"/>
          <wp:docPr id="1" name="Image 1" descr="^3BF57EDC72CE10C9499E7DD34C86C66B2FC5B82787C4D34B69^pimgpsh_fullsize_dis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^3BF57EDC72CE10C9499E7DD34C86C66B2FC5B82787C4D34B69^pimgpsh_fullsize_dis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4814">
      <w:rPr>
        <w:rFonts w:ascii="Arial Narrow" w:hAnsi="Arial Narrow"/>
        <w:color w:val="auto"/>
        <w:sz w:val="24"/>
        <w:szCs w:val="24"/>
        <w:lang w:val="en-US"/>
      </w:rPr>
      <w:tab/>
    </w:r>
    <w:r w:rsidR="006B4814">
      <w:rPr>
        <w:rFonts w:ascii="Arial Narrow" w:hAnsi="Arial Narrow"/>
        <w:color w:val="auto"/>
        <w:sz w:val="24"/>
        <w:szCs w:val="24"/>
        <w:lang w:val="en-US"/>
      </w:rPr>
      <w:tab/>
    </w:r>
    <w:r w:rsidR="006B4814">
      <w:rPr>
        <w:rFonts w:ascii="Arial Narrow" w:hAnsi="Arial Narrow"/>
        <w:color w:val="auto"/>
        <w:sz w:val="24"/>
        <w:szCs w:val="24"/>
        <w:lang w:val="en-US"/>
      </w:rPr>
      <w:tab/>
    </w:r>
    <w:r w:rsidR="006B4814">
      <w:rPr>
        <w:rFonts w:ascii="Arial Narrow" w:hAnsi="Arial Narrow"/>
        <w:color w:val="auto"/>
        <w:sz w:val="24"/>
        <w:szCs w:val="24"/>
        <w:lang w:val="en-US"/>
      </w:rPr>
      <w:tab/>
    </w:r>
    <w:bookmarkStart w:id="0" w:name="_GoBack"/>
    <w:bookmarkEnd w:id="0"/>
    <w:r w:rsidR="006B4814" w:rsidRPr="006B4814">
      <w:rPr>
        <w:rFonts w:ascii="Arial Narrow" w:hAnsi="Arial Narrow" w:cs="Arial"/>
        <w:color w:val="0070C0"/>
        <w:sz w:val="22"/>
        <w:lang w:val="en-US"/>
      </w:rPr>
      <w:t>T/99ACT/HQ/GED07-09-2018/001</w:t>
    </w:r>
    <w:r w:rsidRPr="006B4814">
      <w:rPr>
        <w:rFonts w:ascii="Arial Narrow" w:hAnsi="Arial Narrow"/>
        <w:color w:val="auto"/>
        <w:sz w:val="24"/>
        <w:szCs w:val="24"/>
        <w:lang w:val="en-US"/>
      </w:rPr>
      <w:tab/>
    </w:r>
    <w:r w:rsidRPr="006B4814">
      <w:rPr>
        <w:rFonts w:ascii="Arial Narrow" w:hAnsi="Arial Narrow"/>
        <w:color w:val="auto"/>
        <w:sz w:val="24"/>
        <w:szCs w:val="24"/>
        <w:lang w:val="en-US"/>
      </w:rPr>
      <w:tab/>
    </w:r>
    <w:r w:rsidRPr="006B4814">
      <w:rPr>
        <w:rFonts w:ascii="Arial Narrow" w:hAnsi="Arial Narrow"/>
        <w:color w:val="auto"/>
        <w:sz w:val="24"/>
        <w:szCs w:val="24"/>
        <w:lang w:val="en-US"/>
      </w:rPr>
      <w:tab/>
    </w:r>
    <w:r w:rsidRPr="006B4814">
      <w:rPr>
        <w:rFonts w:ascii="Arial Narrow" w:hAnsi="Arial Narrow"/>
        <w:color w:val="auto"/>
        <w:sz w:val="24"/>
        <w:szCs w:val="24"/>
        <w:lang w:val="en-US"/>
      </w:rPr>
      <w:tab/>
    </w:r>
    <w:r w:rsidRPr="006B4814">
      <w:rPr>
        <w:rFonts w:ascii="Arial Narrow" w:hAnsi="Arial Narrow"/>
        <w:color w:val="auto"/>
        <w:sz w:val="24"/>
        <w:szCs w:val="24"/>
        <w:lang w:val="en-US"/>
      </w:rPr>
      <w:tab/>
    </w:r>
    <w:r w:rsidRPr="006B4814">
      <w:rPr>
        <w:rFonts w:ascii="Arial Narrow" w:hAnsi="Arial Narrow"/>
        <w:color w:val="808080"/>
        <w:sz w:val="24"/>
        <w:szCs w:val="24"/>
        <w:lang w:val="en-US"/>
      </w:rPr>
      <w:t>Form PRO-06</w:t>
    </w:r>
    <w:r w:rsidR="005D4096" w:rsidRPr="006B4814">
      <w:rPr>
        <w:rFonts w:ascii="Arial Narrow" w:hAnsi="Arial Narrow"/>
        <w:color w:val="808080"/>
        <w:sz w:val="24"/>
        <w:szCs w:val="24"/>
        <w:lang w:val="en-US"/>
      </w:rPr>
      <w:t>.6</w:t>
    </w:r>
  </w:p>
  <w:p w:rsidR="00976EC8" w:rsidRPr="00976EC8" w:rsidRDefault="00976EC8" w:rsidP="00976EC8">
    <w:pPr>
      <w:pStyle w:val="Titre5"/>
      <w:jc w:val="right"/>
      <w:rPr>
        <w:rFonts w:ascii="Arial Narrow" w:hAnsi="Arial Narrow"/>
        <w:color w:val="auto"/>
        <w:sz w:val="24"/>
        <w:szCs w:val="24"/>
      </w:rPr>
    </w:pPr>
    <w:r w:rsidRPr="009D7071">
      <w:rPr>
        <w:rFonts w:ascii="Arial Narrow" w:hAnsi="Arial Narrow"/>
        <w:noProof/>
        <w:color w:val="auto"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7F1B519" wp14:editId="3EBD6709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2" name="Connecteur droi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5CC52DC9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096" w:rsidRDefault="005D409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31"/>
    <w:rsid w:val="000A3841"/>
    <w:rsid w:val="00195FBB"/>
    <w:rsid w:val="00211C7C"/>
    <w:rsid w:val="002809E6"/>
    <w:rsid w:val="004429E8"/>
    <w:rsid w:val="00506EBA"/>
    <w:rsid w:val="005D4096"/>
    <w:rsid w:val="006B4814"/>
    <w:rsid w:val="00837F31"/>
    <w:rsid w:val="00976EC8"/>
    <w:rsid w:val="009B45C2"/>
    <w:rsid w:val="00A20F42"/>
    <w:rsid w:val="00A3736C"/>
    <w:rsid w:val="00A4436C"/>
    <w:rsid w:val="00A839ED"/>
    <w:rsid w:val="00AE20DD"/>
    <w:rsid w:val="00B02658"/>
    <w:rsid w:val="00B034CE"/>
    <w:rsid w:val="00B70729"/>
    <w:rsid w:val="00C95997"/>
    <w:rsid w:val="00CA5813"/>
    <w:rsid w:val="00CB4EE3"/>
    <w:rsid w:val="00D71F75"/>
    <w:rsid w:val="00E74F80"/>
    <w:rsid w:val="00EF3168"/>
    <w:rsid w:val="00F7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FD1FB45-24F7-465D-9696-183CF32A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F31"/>
    <w:pPr>
      <w:spacing w:after="128" w:line="268" w:lineRule="auto"/>
      <w:ind w:left="22" w:right="3" w:hanging="10"/>
      <w:jc w:val="both"/>
    </w:pPr>
    <w:rPr>
      <w:rFonts w:ascii="Calibri" w:eastAsia="Calibri" w:hAnsi="Calibri" w:cs="Calibri"/>
      <w:color w:val="000000"/>
      <w:sz w:val="20"/>
      <w:lang w:eastAsia="fr-FR"/>
    </w:rPr>
  </w:style>
  <w:style w:type="paragraph" w:styleId="Titre2">
    <w:name w:val="heading 2"/>
    <w:next w:val="Normal"/>
    <w:link w:val="Titre2Car"/>
    <w:uiPriority w:val="9"/>
    <w:unhideWhenUsed/>
    <w:qFormat/>
    <w:rsid w:val="00837F31"/>
    <w:pPr>
      <w:keepNext/>
      <w:keepLines/>
      <w:pBdr>
        <w:bottom w:val="single" w:sz="4" w:space="0" w:color="1F497D"/>
      </w:pBdr>
      <w:shd w:val="clear" w:color="auto" w:fill="F2F2F2"/>
      <w:spacing w:after="150"/>
      <w:ind w:left="10" w:hanging="10"/>
      <w:outlineLvl w:val="1"/>
    </w:pPr>
    <w:rPr>
      <w:rFonts w:ascii="Calibri" w:eastAsia="Calibri" w:hAnsi="Calibri" w:cs="Calibri"/>
      <w:b/>
      <w:color w:val="1F497D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76E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37F31"/>
    <w:rPr>
      <w:rFonts w:ascii="Calibri" w:eastAsia="Calibri" w:hAnsi="Calibri" w:cs="Calibri"/>
      <w:b/>
      <w:color w:val="1F497D"/>
      <w:shd w:val="clear" w:color="auto" w:fill="F2F2F2"/>
      <w:lang w:eastAsia="fr-FR"/>
    </w:rPr>
  </w:style>
  <w:style w:type="table" w:customStyle="1" w:styleId="TableGrid">
    <w:name w:val="TableGrid"/>
    <w:rsid w:val="00837F31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A384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3841"/>
    <w:rPr>
      <w:rFonts w:ascii="Times New Roman" w:eastAsia="Calibri" w:hAnsi="Times New Roman" w:cs="Times New Roman"/>
      <w:color w:val="000000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76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6EC8"/>
    <w:rPr>
      <w:rFonts w:ascii="Calibri" w:eastAsia="Calibri" w:hAnsi="Calibri" w:cs="Calibri"/>
      <w:color w:val="000000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6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6EC8"/>
    <w:rPr>
      <w:rFonts w:ascii="Calibri" w:eastAsia="Calibri" w:hAnsi="Calibri" w:cs="Calibri"/>
      <w:color w:val="000000"/>
      <w:sz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976EC8"/>
    <w:rPr>
      <w:rFonts w:asciiTheme="majorHAnsi" w:eastAsiaTheme="majorEastAsia" w:hAnsiTheme="majorHAnsi" w:cstheme="majorBidi"/>
      <w:color w:val="2E74B5" w:themeColor="accent1" w:themeShade="BF"/>
      <w:sz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76EC8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76EC8"/>
    <w:rPr>
      <w:rFonts w:ascii="Calibri" w:eastAsia="Calibri" w:hAnsi="Calibri" w:cs="Calibri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76E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AC83A-7257-4F7D-B0CB-4524F3DC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BERNARD</dc:creator>
  <cp:keywords/>
  <dc:description/>
  <cp:lastModifiedBy>Milena BRETOU KLEIN</cp:lastModifiedBy>
  <cp:revision>9</cp:revision>
  <dcterms:created xsi:type="dcterms:W3CDTF">2018-09-10T15:09:00Z</dcterms:created>
  <dcterms:modified xsi:type="dcterms:W3CDTF">2018-09-18T09:31:00Z</dcterms:modified>
</cp:coreProperties>
</file>